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center"/>
        <w:outlineLvl w:val="9"/>
        <w:rPr>
          <w:rFonts w:ascii="黑体" w:hAnsi="黑体" w:eastAsia="黑体" w:cs="黑体"/>
          <w:b w:val="0"/>
          <w:bCs w:val="0"/>
          <w:spacing w:val="5"/>
          <w:sz w:val="56"/>
          <w:szCs w:val="56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1012190</wp:posOffset>
            </wp:positionH>
            <wp:positionV relativeFrom="paragraph">
              <wp:posOffset>2142490</wp:posOffset>
            </wp:positionV>
            <wp:extent cx="3780790" cy="309245"/>
            <wp:effectExtent l="0" t="0" r="13970" b="10795"/>
            <wp:wrapTopAndBottom/>
            <wp:docPr id="2" name="IM 2" descr="F:\Desktop\图片1.png图片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 descr="F:\Desktop\图片1.png图片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0790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2265680</wp:posOffset>
            </wp:positionH>
            <wp:positionV relativeFrom="paragraph">
              <wp:posOffset>403860</wp:posOffset>
            </wp:positionV>
            <wp:extent cx="1273810" cy="1273810"/>
            <wp:effectExtent l="0" t="0" r="6350" b="6350"/>
            <wp:wrapTopAndBottom/>
            <wp:docPr id="1" name="IM 1" descr="F:\Desktop\实验中专logo500X500.png实验中专logo500X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 descr="F:\Desktop\实验中专logo500X500.png实验中专logo500X500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center"/>
        <w:outlineLvl w:val="9"/>
        <w:rPr>
          <w:rFonts w:ascii="黑体" w:hAnsi="黑体" w:eastAsia="黑体" w:cs="黑体"/>
          <w:b w:val="0"/>
          <w:bCs w:val="0"/>
          <w:spacing w:val="5"/>
          <w:sz w:val="56"/>
          <w:szCs w:val="56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center"/>
        <w:outlineLvl w:val="9"/>
        <w:rPr>
          <w:rFonts w:ascii="黑体" w:hAnsi="黑体" w:eastAsia="黑体" w:cs="黑体"/>
          <w:b w:val="0"/>
          <w:bCs w:val="0"/>
          <w:spacing w:val="5"/>
          <w:sz w:val="56"/>
          <w:szCs w:val="56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center"/>
        <w:outlineLvl w:val="9"/>
        <w:rPr>
          <w:rFonts w:ascii="黑体" w:hAnsi="黑体" w:eastAsia="黑体" w:cs="黑体"/>
          <w:b w:val="0"/>
          <w:bCs w:val="0"/>
          <w:spacing w:val="5"/>
          <w:sz w:val="56"/>
          <w:szCs w:val="56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center"/>
        <w:outlineLvl w:val="9"/>
        <w:rPr>
          <w:rFonts w:ascii="黑体" w:hAnsi="黑体" w:eastAsia="黑体" w:cs="黑体"/>
          <w:b w:val="0"/>
          <w:bCs w:val="0"/>
          <w:spacing w:val="5"/>
          <w:sz w:val="56"/>
          <w:szCs w:val="56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56"/>
          <w:szCs w:val="56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动漫与游戏制作</w:t>
      </w:r>
      <w:r>
        <w:rPr>
          <w:rFonts w:ascii="黑体" w:hAnsi="黑体" w:eastAsia="黑体" w:cs="黑体"/>
          <w:b w:val="0"/>
          <w:bCs w:val="0"/>
          <w:spacing w:val="5"/>
          <w:sz w:val="56"/>
          <w:szCs w:val="56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专业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outlineLvl w:val="0"/>
        <w:rPr>
          <w:rFonts w:ascii="黑体" w:hAnsi="黑体" w:eastAsia="黑体" w:cs="黑体"/>
          <w:b w:val="0"/>
          <w:bCs w:val="0"/>
          <w:sz w:val="56"/>
          <w:szCs w:val="56"/>
        </w:rPr>
      </w:pPr>
      <w:bookmarkStart w:id="0" w:name="_Toc6590"/>
      <w:bookmarkStart w:id="1" w:name="_Toc3232"/>
      <w:r>
        <w:rPr>
          <w:rFonts w:ascii="黑体" w:hAnsi="黑体" w:eastAsia="黑体" w:cs="黑体"/>
          <w:b w:val="0"/>
          <w:bCs w:val="0"/>
          <w:spacing w:val="5"/>
          <w:sz w:val="56"/>
          <w:szCs w:val="56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人才培养方案</w:t>
      </w:r>
      <w:bookmarkEnd w:id="0"/>
      <w:bookmarkEnd w:id="1"/>
    </w:p>
    <w:p>
      <w:pPr>
        <w:spacing w:line="246" w:lineRule="auto"/>
        <w:jc w:val="center"/>
        <w:outlineLvl w:val="9"/>
        <w:rPr>
          <w:rFonts w:ascii="Arial"/>
          <w:sz w:val="21"/>
        </w:rPr>
      </w:pPr>
    </w:p>
    <w:p>
      <w:pPr>
        <w:spacing w:line="246" w:lineRule="auto"/>
        <w:jc w:val="center"/>
        <w:outlineLvl w:val="9"/>
        <w:rPr>
          <w:rFonts w:ascii="Arial"/>
          <w:sz w:val="21"/>
        </w:rPr>
      </w:pPr>
    </w:p>
    <w:p>
      <w:pPr>
        <w:spacing w:line="246" w:lineRule="auto"/>
        <w:jc w:val="center"/>
        <w:outlineLvl w:val="9"/>
        <w:rPr>
          <w:rFonts w:ascii="Arial"/>
          <w:sz w:val="21"/>
        </w:rPr>
      </w:pPr>
    </w:p>
    <w:p>
      <w:pPr>
        <w:spacing w:line="246" w:lineRule="auto"/>
        <w:jc w:val="center"/>
        <w:outlineLvl w:val="9"/>
        <w:rPr>
          <w:rFonts w:ascii="Arial"/>
          <w:sz w:val="21"/>
        </w:rPr>
      </w:pPr>
    </w:p>
    <w:p>
      <w:pPr>
        <w:spacing w:line="246" w:lineRule="auto"/>
        <w:jc w:val="center"/>
        <w:outlineLvl w:val="9"/>
        <w:rPr>
          <w:rFonts w:ascii="Arial"/>
          <w:sz w:val="21"/>
        </w:rPr>
      </w:pPr>
    </w:p>
    <w:p>
      <w:pPr>
        <w:spacing w:line="246" w:lineRule="auto"/>
        <w:jc w:val="center"/>
        <w:outlineLvl w:val="9"/>
        <w:rPr>
          <w:rFonts w:ascii="Arial"/>
          <w:sz w:val="21"/>
        </w:rPr>
      </w:pPr>
    </w:p>
    <w:p>
      <w:pPr>
        <w:spacing w:line="246" w:lineRule="auto"/>
        <w:jc w:val="center"/>
        <w:outlineLvl w:val="9"/>
        <w:rPr>
          <w:rFonts w:ascii="Arial"/>
          <w:sz w:val="21"/>
        </w:rPr>
      </w:pPr>
    </w:p>
    <w:p>
      <w:pPr>
        <w:spacing w:line="246" w:lineRule="auto"/>
        <w:jc w:val="center"/>
        <w:outlineLvl w:val="9"/>
        <w:rPr>
          <w:rFonts w:ascii="Arial"/>
          <w:sz w:val="21"/>
        </w:rPr>
      </w:pPr>
    </w:p>
    <w:p>
      <w:pPr>
        <w:spacing w:line="246" w:lineRule="auto"/>
        <w:jc w:val="center"/>
        <w:outlineLvl w:val="9"/>
        <w:rPr>
          <w:rFonts w:ascii="Arial"/>
          <w:sz w:val="21"/>
        </w:rPr>
      </w:pPr>
    </w:p>
    <w:p>
      <w:pPr>
        <w:spacing w:line="246" w:lineRule="auto"/>
        <w:jc w:val="center"/>
        <w:outlineLvl w:val="9"/>
        <w:rPr>
          <w:rFonts w:ascii="Arial"/>
          <w:sz w:val="21"/>
        </w:rPr>
      </w:pPr>
    </w:p>
    <w:p>
      <w:pPr>
        <w:spacing w:line="246" w:lineRule="auto"/>
        <w:jc w:val="center"/>
        <w:outlineLvl w:val="9"/>
        <w:rPr>
          <w:rFonts w:ascii="Arial"/>
          <w:sz w:val="21"/>
        </w:rPr>
      </w:pPr>
    </w:p>
    <w:p>
      <w:pPr>
        <w:spacing w:before="140" w:line="229" w:lineRule="auto"/>
        <w:jc w:val="center"/>
        <w:outlineLvl w:val="9"/>
        <w:rPr>
          <w:rFonts w:hint="eastAsia" w:ascii="楷体" w:hAnsi="楷体" w:eastAsia="楷体" w:cs="楷体"/>
          <w:spacing w:val="-7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楷体" w:hAnsi="楷体" w:eastAsia="楷体" w:cs="楷体"/>
          <w:spacing w:val="-7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教务处</w:t>
      </w:r>
    </w:p>
    <w:p>
      <w:pPr>
        <w:spacing w:before="140" w:line="229" w:lineRule="auto"/>
        <w:jc w:val="center"/>
        <w:outlineLvl w:val="9"/>
        <w:rPr>
          <w:rFonts w:hint="eastAsia" w:ascii="楷体" w:hAnsi="楷体" w:eastAsia="楷体" w:cs="楷体"/>
          <w:spacing w:val="-7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0" w:line="229" w:lineRule="auto"/>
        <w:jc w:val="center"/>
        <w:outlineLvl w:val="9"/>
        <w:rPr>
          <w:rFonts w:hint="eastAsia" w:ascii="楷体" w:hAnsi="楷体" w:eastAsia="楷体" w:cs="楷体"/>
          <w:spacing w:val="-7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62" w:line="227" w:lineRule="auto"/>
        <w:outlineLvl w:val="9"/>
        <w:rPr>
          <w:rFonts w:ascii="黑体" w:hAnsi="黑体" w:eastAsia="黑体" w:cs="黑体"/>
          <w:sz w:val="31"/>
          <w:szCs w:val="31"/>
        </w:rPr>
      </w:pPr>
    </w:p>
    <w:p>
      <w:pPr>
        <w:spacing w:before="162" w:line="227" w:lineRule="auto"/>
        <w:outlineLvl w:val="9"/>
        <w:rPr>
          <w:rFonts w:ascii="黑体" w:hAnsi="黑体" w:eastAsia="黑体" w:cs="黑体"/>
          <w:sz w:val="31"/>
          <w:szCs w:val="31"/>
        </w:rPr>
      </w:pPr>
    </w:p>
    <w:sdt>
      <w:sdtPr>
        <w:rPr>
          <w:rFonts w:ascii="宋体" w:hAnsi="宋体" w:eastAsia="宋体" w:cs="Arial"/>
          <w:snapToGrid w:val="0"/>
          <w:color w:val="000000"/>
          <w:kern w:val="0"/>
          <w:sz w:val="40"/>
          <w:szCs w:val="40"/>
        </w:rPr>
        <w:id w:val="147477270"/>
        <w15:color w:val="DBDBDB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b/>
          <w:bCs w:val="0"/>
          <w:snapToGrid/>
          <w:color w:val="000000"/>
          <w:kern w:val="2"/>
          <w:sz w:val="24"/>
          <w:szCs w:val="24"/>
          <w:lang w:val="en-US" w:eastAsia="zh-CN" w:bidi="ar-SA"/>
        </w:rPr>
      </w:sdtEndPr>
      <w:sdtContent>
        <w:p>
          <w:pPr>
            <w:keepNext w:val="0"/>
            <w:keepLines w:val="0"/>
            <w:pageBreakBefore w:val="0"/>
            <w:wordWrap/>
            <w:overflowPunct/>
            <w:topLinePunct w:val="0"/>
            <w:bidi w:val="0"/>
            <w:spacing w:before="0" w:beforeLines="0" w:after="0" w:afterLines="0" w:line="400" w:lineRule="exact"/>
            <w:ind w:left="0" w:leftChars="0" w:right="0" w:rightChars="0" w:firstLine="0" w:firstLineChars="0"/>
            <w:jc w:val="center"/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</w:pPr>
          <w:r>
            <w:rPr>
              <w:rFonts w:ascii="宋体" w:hAnsi="宋体" w:eastAsia="宋体"/>
              <w:sz w:val="40"/>
              <w:szCs w:val="40"/>
            </w:rPr>
            <w:t>目录</w:t>
          </w:r>
          <w:r>
            <w:rPr>
              <w:rFonts w:hint="eastAsia" w:ascii="仿宋_GB2312" w:hAnsi="仿宋_GB2312" w:eastAsia="仿宋_GB2312" w:cs="仿宋_GB2312"/>
              <w:b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instrText xml:space="preserve">TOC \o "1-2" \h \u </w:instrText>
          </w:r>
          <w:r>
            <w:rPr>
              <w:rFonts w:hint="eastAsia" w:ascii="仿宋_GB2312" w:hAnsi="仿宋_GB2312" w:eastAsia="仿宋_GB2312" w:cs="仿宋_GB2312"/>
              <w:b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separate"/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_Toc22966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napToGrid/>
              <w:kern w:val="0"/>
              <w:sz w:val="24"/>
              <w:szCs w:val="24"/>
              <w:lang w:val="en-US" w:eastAsia="zh-CN" w:bidi="ar-SA"/>
            </w:rPr>
            <w:t>一、专业名称及代码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_Toc22966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_Toc22362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napToGrid/>
              <w:kern w:val="0"/>
              <w:sz w:val="24"/>
              <w:szCs w:val="24"/>
              <w:lang w:val="en-US" w:eastAsia="zh-CN" w:bidi="ar-SA"/>
            </w:rPr>
            <w:t>二、入学要求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_Toc22362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_Toc28008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napToGrid/>
              <w:kern w:val="0"/>
              <w:sz w:val="24"/>
              <w:szCs w:val="24"/>
              <w:lang w:val="en-US" w:eastAsia="zh-CN" w:bidi="ar-SA"/>
            </w:rPr>
            <w:t>初中毕业生或具有同等学力者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_Toc28008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_Toc24835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napToGrid/>
              <w:kern w:val="0"/>
              <w:sz w:val="24"/>
              <w:szCs w:val="24"/>
              <w:lang w:val="en-US" w:eastAsia="zh-CN" w:bidi="ar-SA"/>
            </w:rPr>
            <w:t>三、修业年限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_Toc24835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_Toc31952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napToGrid/>
              <w:kern w:val="0"/>
              <w:sz w:val="24"/>
              <w:szCs w:val="24"/>
              <w:lang w:val="en-US" w:eastAsia="zh-CN" w:bidi="ar-SA"/>
            </w:rPr>
            <w:t>四、职业面向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_Toc31952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_Toc15800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napToGrid/>
              <w:kern w:val="0"/>
              <w:sz w:val="24"/>
              <w:szCs w:val="24"/>
              <w:lang w:val="en-US" w:eastAsia="zh-CN" w:bidi="ar-SA"/>
            </w:rPr>
            <w:t>五、培养目标与培养规格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_Toc15800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_Toc5508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napToGrid/>
              <w:kern w:val="0"/>
              <w:sz w:val="24"/>
              <w:szCs w:val="24"/>
              <w:lang w:val="en-US" w:eastAsia="zh-CN" w:bidi="ar-SA"/>
            </w:rPr>
            <w:t>（一）培养目标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_Toc5508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_Toc30792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napToGrid/>
              <w:kern w:val="0"/>
              <w:sz w:val="24"/>
              <w:szCs w:val="24"/>
              <w:lang w:val="en-US" w:eastAsia="zh-CN" w:bidi="ar-SA"/>
            </w:rPr>
            <w:t>（二）培养规格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_Toc30792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_Toc9333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napToGrid/>
              <w:kern w:val="0"/>
              <w:sz w:val="24"/>
              <w:szCs w:val="24"/>
              <w:lang w:val="en-US" w:eastAsia="zh-CN" w:bidi="ar-SA"/>
            </w:rPr>
            <w:t>六、课程设置及要求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_Toc9333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2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_Toc10678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napToGrid/>
              <w:kern w:val="0"/>
              <w:sz w:val="24"/>
              <w:szCs w:val="24"/>
              <w:lang w:val="en-US" w:eastAsia="zh-CN" w:bidi="ar-SA"/>
            </w:rPr>
            <w:t>（一）基础文化课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_Toc10678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2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_Toc9994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napToGrid/>
              <w:kern w:val="0"/>
              <w:sz w:val="24"/>
              <w:szCs w:val="24"/>
              <w:lang w:val="en-US" w:eastAsia="zh-CN" w:bidi="ar-SA"/>
            </w:rPr>
            <w:t>（二）专业课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_Toc9994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5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_Toc18550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napToGrid/>
              <w:kern w:val="0"/>
              <w:sz w:val="24"/>
              <w:szCs w:val="24"/>
              <w:lang w:val="en-US" w:eastAsia="zh-CN" w:bidi="ar-SA"/>
            </w:rPr>
            <w:t>七、教学进程总体安排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_Toc18550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8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_Toc5612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napToGrid/>
              <w:kern w:val="0"/>
              <w:sz w:val="24"/>
              <w:szCs w:val="24"/>
              <w:lang w:val="en-US" w:eastAsia="zh-CN" w:bidi="ar-SA"/>
            </w:rPr>
            <w:t>（一）基本要求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_Toc5612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8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_Toc24200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napToGrid/>
              <w:kern w:val="0"/>
              <w:sz w:val="24"/>
              <w:szCs w:val="24"/>
              <w:lang w:val="en-US" w:eastAsia="zh-CN" w:bidi="ar-SA"/>
            </w:rPr>
            <w:t>（二）教学安排表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_Toc24200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8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_Toc24366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napToGrid/>
              <w:kern w:val="0"/>
              <w:sz w:val="24"/>
              <w:szCs w:val="24"/>
              <w:lang w:val="en-US" w:eastAsia="zh-CN" w:bidi="ar-SA"/>
            </w:rPr>
            <w:t>八、教学评价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_Toc24366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10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_Toc17790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napToGrid/>
              <w:kern w:val="0"/>
              <w:sz w:val="24"/>
              <w:szCs w:val="24"/>
              <w:lang w:val="en-US" w:eastAsia="zh-CN" w:bidi="ar-SA"/>
            </w:rPr>
            <w:t>（一）基本素养评价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_Toc17790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10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_Toc12985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napToGrid/>
              <w:kern w:val="0"/>
              <w:sz w:val="24"/>
              <w:szCs w:val="24"/>
              <w:lang w:val="en-US" w:eastAsia="zh-CN" w:bidi="ar-SA"/>
            </w:rPr>
            <w:t>（二）文化知识和职业技能评价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_Toc12985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10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_Toc16309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napToGrid/>
              <w:kern w:val="0"/>
              <w:sz w:val="24"/>
              <w:szCs w:val="24"/>
              <w:lang w:val="en-US" w:eastAsia="zh-CN" w:bidi="ar-SA"/>
            </w:rPr>
            <w:t>（三）顶岗实习评价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_Toc16309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11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_Toc15145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napToGrid/>
              <w:kern w:val="0"/>
              <w:sz w:val="24"/>
              <w:szCs w:val="24"/>
              <w:lang w:val="en-US" w:eastAsia="zh-CN" w:bidi="ar-SA"/>
            </w:rPr>
            <w:t>九、质量管理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_Toc15145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11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_Toc16452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napToGrid/>
              <w:kern w:val="0"/>
              <w:sz w:val="24"/>
              <w:szCs w:val="24"/>
              <w:lang w:val="en-US" w:eastAsia="zh-CN" w:bidi="ar-SA"/>
            </w:rPr>
            <w:t>（一）组织机构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_Toc16452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11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_Toc28284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napToGrid/>
              <w:kern w:val="0"/>
              <w:sz w:val="24"/>
              <w:szCs w:val="24"/>
              <w:lang w:val="en-US" w:eastAsia="zh-CN" w:bidi="ar-SA"/>
            </w:rPr>
            <w:t>（二）课堂教学质量监控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_Toc28284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12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_Toc32621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napToGrid/>
              <w:kern w:val="0"/>
              <w:sz w:val="24"/>
              <w:szCs w:val="24"/>
              <w:lang w:val="en-US" w:eastAsia="zh-CN" w:bidi="ar-SA"/>
            </w:rPr>
            <w:t>（三）实践教学质量监控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_Toc32621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13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_Toc15677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napToGrid/>
              <w:kern w:val="0"/>
              <w:sz w:val="24"/>
              <w:szCs w:val="24"/>
              <w:lang w:val="en-US" w:eastAsia="zh-CN" w:bidi="ar-SA"/>
            </w:rPr>
            <w:t>十、实施保障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_Toc15677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14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_Toc10135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napToGrid/>
              <w:kern w:val="0"/>
              <w:sz w:val="24"/>
              <w:szCs w:val="24"/>
              <w:lang w:val="en-US" w:eastAsia="zh-CN" w:bidi="ar-SA"/>
            </w:rPr>
            <w:t>（一）师资队伍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_Toc10135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14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_Toc23575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napToGrid/>
              <w:kern w:val="0"/>
              <w:sz w:val="24"/>
              <w:szCs w:val="24"/>
              <w:lang w:val="en-US" w:eastAsia="zh-CN" w:bidi="ar-SA"/>
            </w:rPr>
            <w:t>（二）教学设施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_Toc23575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14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_Toc1820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napToGrid/>
              <w:kern w:val="0"/>
              <w:sz w:val="24"/>
              <w:szCs w:val="24"/>
              <w:lang w:val="en-US" w:eastAsia="zh-CN" w:bidi="ar-SA"/>
            </w:rPr>
            <w:t>（三）教学资源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_Toc1820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15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_Toc755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napToGrid/>
              <w:kern w:val="0"/>
              <w:sz w:val="24"/>
              <w:szCs w:val="24"/>
              <w:lang w:val="en-US" w:eastAsia="zh-CN" w:bidi="ar-SA"/>
            </w:rPr>
            <w:t>（四）教学方法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_Toc755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15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_Toc21863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napToGrid/>
              <w:kern w:val="0"/>
              <w:sz w:val="24"/>
              <w:szCs w:val="24"/>
              <w:lang w:val="en-US" w:eastAsia="zh-CN" w:bidi="ar-SA"/>
            </w:rPr>
            <w:t>（五）学习评价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_Toc21863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15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_Toc5647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napToGrid/>
              <w:kern w:val="0"/>
              <w:sz w:val="24"/>
              <w:szCs w:val="24"/>
              <w:lang w:val="en-US" w:eastAsia="zh-CN" w:bidi="ar-SA"/>
            </w:rPr>
            <w:t>十一、质量管理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_Toc5647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16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_Toc20031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napToGrid/>
              <w:kern w:val="0"/>
              <w:sz w:val="24"/>
              <w:szCs w:val="24"/>
              <w:lang w:val="en-US" w:eastAsia="zh-CN" w:bidi="ar-SA"/>
            </w:rPr>
            <w:t>十二、毕业要求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_Toc20031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17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pStyle w:val="5"/>
            <w:keepNext w:val="0"/>
            <w:keepLines w:val="0"/>
            <w:pageBreakBefore w:val="0"/>
            <w:tabs>
              <w:tab w:val="right" w:leader="dot" w:pos="8306"/>
            </w:tabs>
            <w:wordWrap/>
            <w:overflowPunct/>
            <w:topLinePunct w:val="0"/>
            <w:bidi w:val="0"/>
            <w:spacing w:line="400" w:lineRule="exact"/>
            <w:rPr>
              <w:rFonts w:hint="eastAsia" w:ascii="仿宋_GB2312" w:hAnsi="仿宋_GB2312" w:eastAsia="仿宋_GB2312" w:cs="仿宋_GB2312"/>
              <w:sz w:val="24"/>
              <w:szCs w:val="24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instrText xml:space="preserve"> HYPERLINK \l _Toc4264 </w:instrText>
          </w:r>
          <w:r>
            <w:rPr>
              <w:rFonts w:hint="eastAsia" w:ascii="仿宋_GB2312" w:hAnsi="仿宋_GB2312" w:eastAsia="仿宋_GB2312" w:cs="仿宋_GB2312"/>
              <w:bCs w:val="0"/>
              <w:snapToGrid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napToGrid/>
              <w:kern w:val="0"/>
              <w:sz w:val="24"/>
              <w:szCs w:val="24"/>
              <w:lang w:val="en-US" w:eastAsia="zh-CN" w:bidi="ar-SA"/>
            </w:rPr>
            <w:t>十三、附录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ab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instrText xml:space="preserve"> PAGEREF _Toc4264 \h </w:instrTex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t>17</w:t>
          </w:r>
          <w:r>
            <w:rPr>
              <w:rFonts w:hint="eastAsia" w:ascii="仿宋_GB2312" w:hAnsi="仿宋_GB2312" w:eastAsia="仿宋_GB2312" w:cs="仿宋_GB2312"/>
              <w:sz w:val="24"/>
              <w:szCs w:val="24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  <w:p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after="315" w:afterLines="100" w:afterAutospacing="0" w:line="400" w:lineRule="exact"/>
            <w:jc w:val="both"/>
            <w:textAlignment w:val="auto"/>
            <w:outlineLvl w:val="9"/>
            <w:rPr>
              <w:rFonts w:hint="eastAsia" w:ascii="仿宋_GB2312" w:hAnsi="仿宋_GB2312" w:eastAsia="仿宋_GB2312" w:cs="仿宋_GB2312"/>
              <w:b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</w:pPr>
          <w:r>
            <w:rPr>
              <w:rFonts w:hint="eastAsia" w:ascii="仿宋_GB2312" w:hAnsi="仿宋_GB2312" w:eastAsia="仿宋_GB2312" w:cs="仿宋_GB2312"/>
              <w:bCs w:val="0"/>
              <w:snapToGrid/>
              <w:color w:val="000000"/>
              <w:kern w:val="2"/>
              <w:sz w:val="24"/>
              <w:szCs w:val="24"/>
              <w:lang w:val="en-US" w:eastAsia="zh-CN" w:bidi="ar-SA"/>
            </w:rPr>
            <w:fldChar w:fldCharType="end"/>
          </w:r>
        </w:p>
      </w:sdtContent>
    </w:sdt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after="315" w:afterLines="100" w:afterAutospacing="0" w:line="360" w:lineRule="auto"/>
        <w:jc w:val="center"/>
        <w:textAlignment w:val="auto"/>
        <w:outlineLvl w:val="0"/>
        <w:rPr>
          <w:rFonts w:hint="eastAsia" w:asciiTheme="majorEastAsia" w:hAnsiTheme="majorEastAsia" w:eastAsiaTheme="majorEastAsia" w:cstheme="majorEastAsia"/>
          <w:b/>
          <w:bCs w:val="0"/>
          <w:snapToGrid/>
          <w:color w:val="000000"/>
          <w:kern w:val="2"/>
          <w:sz w:val="44"/>
          <w:szCs w:val="44"/>
          <w:lang w:val="en-US" w:eastAsia="zh-CN" w:bidi="ar-SA"/>
        </w:rPr>
        <w:sectPr>
          <w:pgSz w:w="11906" w:h="16839"/>
          <w:pgMar w:top="1440" w:right="1800" w:bottom="1440" w:left="1800" w:header="0" w:footer="1256" w:gutter="0"/>
          <w:pgNumType w:fmt="decimal" w:start="1"/>
          <w:cols w:equalWidth="0" w:num="1">
            <w:col w:w="9187"/>
          </w:cols>
        </w:sectPr>
      </w:pPr>
      <w:bookmarkStart w:id="2" w:name="_Toc4455"/>
      <w:bookmarkStart w:id="3" w:name="_Toc8956"/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after="315" w:afterLines="100" w:afterAutospacing="0" w:line="360" w:lineRule="auto"/>
        <w:jc w:val="center"/>
        <w:textAlignment w:val="auto"/>
        <w:outlineLvl w:val="0"/>
        <w:rPr>
          <w:rFonts w:hint="eastAsia" w:asciiTheme="majorEastAsia" w:hAnsiTheme="majorEastAsia" w:eastAsiaTheme="majorEastAsia" w:cstheme="majorEastAsia"/>
          <w:b/>
          <w:bCs w:val="0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napToGrid/>
          <w:color w:val="000000"/>
          <w:kern w:val="2"/>
          <w:sz w:val="44"/>
          <w:szCs w:val="44"/>
          <w:lang w:val="en-US" w:eastAsia="zh-CN" w:bidi="ar-SA"/>
        </w:rPr>
        <w:t>动漫与游戏制作专业人才培养方案</w:t>
      </w:r>
      <w:bookmarkEnd w:id="2"/>
      <w:bookmarkEnd w:id="3"/>
    </w:p>
    <w:p>
      <w:pPr>
        <w:spacing w:before="234" w:line="229" w:lineRule="auto"/>
        <w:ind w:firstLine="638"/>
        <w:outlineLvl w:val="0"/>
        <w:rPr>
          <w:rFonts w:hint="eastAsia" w:ascii="仿宋_GB2312" w:hAnsi="宋体" w:eastAsia="仿宋_GB2312" w:cs="宋体"/>
          <w:b/>
          <w:bCs/>
          <w:snapToGrid/>
          <w:color w:val="000000"/>
          <w:kern w:val="0"/>
          <w:sz w:val="28"/>
          <w:szCs w:val="28"/>
          <w:lang w:val="en-US" w:eastAsia="zh-CN" w:bidi="ar-SA"/>
        </w:rPr>
      </w:pPr>
      <w:bookmarkStart w:id="4" w:name="_Toc22966"/>
      <w:r>
        <w:rPr>
          <w:rFonts w:hint="eastAsia" w:ascii="仿宋_GB2312" w:hAnsi="宋体" w:eastAsia="仿宋_GB2312" w:cs="宋体"/>
          <w:b/>
          <w:bCs/>
          <w:snapToGrid/>
          <w:color w:val="000000"/>
          <w:kern w:val="0"/>
          <w:sz w:val="28"/>
          <w:szCs w:val="28"/>
          <w:lang w:val="en-US" w:eastAsia="zh-CN" w:bidi="ar-SA"/>
        </w:rPr>
        <w:t>一、专业名称及代码</w:t>
      </w:r>
      <w:bookmarkEnd w:id="4"/>
    </w:p>
    <w:p>
      <w:pPr>
        <w:spacing w:before="234" w:line="229" w:lineRule="auto"/>
        <w:ind w:firstLine="638"/>
        <w:outlineLvl w:val="9"/>
        <w:rPr>
          <w:rFonts w:hint="eastAsia" w:ascii="仿宋_GB2312" w:hAnsi="宋体" w:eastAsia="仿宋_GB2312" w:cs="宋体"/>
          <w:snapToGrid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snapToGrid/>
          <w:color w:val="000000"/>
          <w:kern w:val="0"/>
          <w:sz w:val="28"/>
          <w:szCs w:val="28"/>
          <w:lang w:val="en-US" w:eastAsia="zh-CN" w:bidi="ar-SA"/>
        </w:rPr>
        <w:t>动漫与游戏制作（760204）</w:t>
      </w:r>
    </w:p>
    <w:p>
      <w:pPr>
        <w:spacing w:before="234" w:line="229" w:lineRule="auto"/>
        <w:ind w:firstLine="638"/>
        <w:outlineLvl w:val="0"/>
        <w:rPr>
          <w:rFonts w:hint="eastAsia" w:ascii="仿宋_GB2312" w:hAnsi="宋体" w:eastAsia="仿宋_GB2312" w:cs="宋体"/>
          <w:b/>
          <w:bCs/>
          <w:snapToGrid/>
          <w:color w:val="000000"/>
          <w:kern w:val="0"/>
          <w:sz w:val="28"/>
          <w:szCs w:val="28"/>
          <w:lang w:val="en-US" w:eastAsia="zh-CN" w:bidi="ar-SA"/>
        </w:rPr>
      </w:pPr>
      <w:bookmarkStart w:id="5" w:name="_Toc22362"/>
      <w:r>
        <w:rPr>
          <w:rFonts w:hint="eastAsia" w:ascii="仿宋_GB2312" w:hAnsi="宋体" w:eastAsia="仿宋_GB2312" w:cs="宋体"/>
          <w:b/>
          <w:bCs/>
          <w:snapToGrid/>
          <w:color w:val="000000"/>
          <w:kern w:val="0"/>
          <w:sz w:val="28"/>
          <w:szCs w:val="28"/>
          <w:lang w:val="en-US" w:eastAsia="zh-CN" w:bidi="ar-SA"/>
        </w:rPr>
        <w:t>二、入学要求</w:t>
      </w:r>
      <w:bookmarkEnd w:id="5"/>
    </w:p>
    <w:p>
      <w:pPr>
        <w:spacing w:before="234" w:line="229" w:lineRule="auto"/>
        <w:ind w:firstLine="638"/>
        <w:outlineLvl w:val="1"/>
        <w:rPr>
          <w:rFonts w:hint="eastAsia" w:ascii="仿宋_GB2312" w:hAnsi="宋体" w:eastAsia="仿宋_GB2312" w:cs="宋体"/>
          <w:snapToGrid/>
          <w:color w:val="000000"/>
          <w:kern w:val="0"/>
          <w:sz w:val="28"/>
          <w:szCs w:val="28"/>
          <w:lang w:val="en-US" w:eastAsia="zh-CN" w:bidi="ar-SA"/>
        </w:rPr>
      </w:pPr>
      <w:bookmarkStart w:id="6" w:name="_Toc28008"/>
      <w:r>
        <w:rPr>
          <w:rFonts w:hint="eastAsia" w:ascii="仿宋_GB2312" w:hAnsi="宋体" w:eastAsia="仿宋_GB2312" w:cs="宋体"/>
          <w:snapToGrid/>
          <w:color w:val="000000"/>
          <w:kern w:val="0"/>
          <w:sz w:val="28"/>
          <w:szCs w:val="28"/>
          <w:lang w:val="en-US" w:eastAsia="zh-CN" w:bidi="ar-SA"/>
        </w:rPr>
        <w:t>初中毕业生或具有同等学力者</w:t>
      </w:r>
      <w:bookmarkEnd w:id="6"/>
    </w:p>
    <w:p>
      <w:pPr>
        <w:spacing w:before="234" w:line="229" w:lineRule="auto"/>
        <w:ind w:firstLine="638"/>
        <w:outlineLvl w:val="0"/>
        <w:rPr>
          <w:rFonts w:hint="eastAsia" w:ascii="仿宋_GB2312" w:hAnsi="宋体" w:eastAsia="仿宋_GB2312" w:cs="宋体"/>
          <w:b/>
          <w:bCs/>
          <w:snapToGrid/>
          <w:color w:val="000000"/>
          <w:kern w:val="0"/>
          <w:sz w:val="28"/>
          <w:szCs w:val="28"/>
          <w:lang w:val="en-US" w:eastAsia="zh-CN" w:bidi="ar-SA"/>
        </w:rPr>
      </w:pPr>
      <w:bookmarkStart w:id="7" w:name="_Toc24835"/>
      <w:r>
        <w:rPr>
          <w:rFonts w:hint="eastAsia" w:ascii="仿宋_GB2312" w:hAnsi="宋体" w:eastAsia="仿宋_GB2312" w:cs="宋体"/>
          <w:b/>
          <w:bCs/>
          <w:snapToGrid/>
          <w:color w:val="000000"/>
          <w:kern w:val="0"/>
          <w:sz w:val="28"/>
          <w:szCs w:val="28"/>
          <w:lang w:val="en-US" w:eastAsia="zh-CN" w:bidi="ar-SA"/>
        </w:rPr>
        <w:t>三、修业年限</w:t>
      </w:r>
      <w:bookmarkEnd w:id="7"/>
    </w:p>
    <w:p>
      <w:pPr>
        <w:spacing w:before="234" w:line="229" w:lineRule="auto"/>
        <w:ind w:firstLine="638"/>
        <w:outlineLvl w:val="9"/>
        <w:rPr>
          <w:rFonts w:hint="eastAsia" w:ascii="仿宋_GB2312" w:hAnsi="宋体" w:eastAsia="仿宋_GB2312" w:cs="宋体"/>
          <w:snapToGrid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snapToGrid/>
          <w:color w:val="000000"/>
          <w:kern w:val="0"/>
          <w:sz w:val="28"/>
          <w:szCs w:val="28"/>
          <w:lang w:val="en-US" w:eastAsia="zh-CN" w:bidi="ar-SA"/>
        </w:rPr>
        <w:t>三年制</w:t>
      </w:r>
    </w:p>
    <w:p>
      <w:pPr>
        <w:spacing w:before="234" w:line="229" w:lineRule="auto"/>
        <w:ind w:firstLine="638"/>
        <w:outlineLvl w:val="0"/>
        <w:rPr>
          <w:rFonts w:hint="eastAsia" w:ascii="仿宋_GB2312" w:hAnsi="宋体" w:eastAsia="仿宋_GB2312" w:cs="宋体"/>
          <w:b/>
          <w:bCs/>
          <w:snapToGrid/>
          <w:color w:val="000000"/>
          <w:kern w:val="0"/>
          <w:sz w:val="28"/>
          <w:szCs w:val="28"/>
          <w:lang w:val="en-US" w:eastAsia="zh-CN" w:bidi="ar-SA"/>
        </w:rPr>
      </w:pPr>
      <w:bookmarkStart w:id="8" w:name="_Toc31952"/>
      <w:r>
        <w:rPr>
          <w:rFonts w:hint="eastAsia" w:ascii="仿宋_GB2312" w:hAnsi="宋体" w:eastAsia="仿宋_GB2312" w:cs="宋体"/>
          <w:b/>
          <w:bCs/>
          <w:snapToGrid/>
          <w:color w:val="000000"/>
          <w:kern w:val="0"/>
          <w:sz w:val="28"/>
          <w:szCs w:val="28"/>
          <w:lang w:val="en-US" w:eastAsia="zh-CN" w:bidi="ar-SA"/>
        </w:rPr>
        <w:t>四、职业面向</w:t>
      </w:r>
      <w:bookmarkEnd w:id="8"/>
    </w:p>
    <w:p>
      <w:pPr>
        <w:spacing w:line="101" w:lineRule="exact"/>
        <w:outlineLvl w:val="9"/>
      </w:pPr>
    </w:p>
    <w:tbl>
      <w:tblPr>
        <w:tblStyle w:val="9"/>
        <w:tblW w:w="83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2258"/>
        <w:gridCol w:w="2615"/>
        <w:gridCol w:w="2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对应职业（岗位）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职业资格证书举例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专业（技能）方向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  <w:jc w:val="center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动漫设计师、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游戏设计师，视频剪辑师，视频摄影师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多媒体作品制员资格证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动漫制作制作方向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PS修图、后期特效制作师、视频剪辑师</w:t>
            </w:r>
          </w:p>
        </w:tc>
        <w:tc>
          <w:tcPr>
            <w:tcW w:w="2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一二级数字设计技能证书</w:t>
            </w:r>
          </w:p>
        </w:tc>
        <w:tc>
          <w:tcPr>
            <w:tcW w:w="2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影像后期方向</w:t>
            </w:r>
          </w:p>
        </w:tc>
      </w:tr>
    </w:tbl>
    <w:p>
      <w:pPr>
        <w:spacing w:line="266" w:lineRule="auto"/>
        <w:outlineLvl w:val="9"/>
        <w:rPr>
          <w:rFonts w:ascii="Arial"/>
          <w:sz w:val="21"/>
        </w:rPr>
      </w:pPr>
    </w:p>
    <w:p>
      <w:pPr>
        <w:spacing w:before="234" w:line="229" w:lineRule="auto"/>
        <w:ind w:firstLine="638"/>
        <w:outlineLvl w:val="0"/>
        <w:rPr>
          <w:rFonts w:hint="eastAsia" w:ascii="仿宋_GB2312" w:hAnsi="宋体" w:eastAsia="仿宋_GB2312" w:cs="宋体"/>
          <w:b/>
          <w:bCs/>
          <w:snapToGrid/>
          <w:color w:val="000000"/>
          <w:kern w:val="0"/>
          <w:sz w:val="28"/>
          <w:szCs w:val="28"/>
          <w:lang w:val="en-US" w:eastAsia="zh-CN" w:bidi="ar-SA"/>
        </w:rPr>
      </w:pPr>
      <w:bookmarkStart w:id="9" w:name="_Toc15800"/>
      <w:r>
        <w:rPr>
          <w:rFonts w:hint="eastAsia" w:ascii="仿宋_GB2312" w:hAnsi="宋体" w:eastAsia="仿宋_GB2312" w:cs="宋体"/>
          <w:b/>
          <w:bCs/>
          <w:snapToGrid/>
          <w:color w:val="000000"/>
          <w:kern w:val="0"/>
          <w:sz w:val="28"/>
          <w:szCs w:val="28"/>
          <w:lang w:val="en-US" w:eastAsia="zh-CN" w:bidi="ar-SA"/>
        </w:rPr>
        <w:t>五、培养目标与培养规格</w:t>
      </w:r>
      <w:bookmarkEnd w:id="9"/>
    </w:p>
    <w:p>
      <w:pPr>
        <w:spacing w:before="234" w:line="229" w:lineRule="auto"/>
        <w:ind w:firstLine="638"/>
        <w:outlineLvl w:val="1"/>
        <w:rPr>
          <w:rFonts w:hint="eastAsia" w:ascii="仿宋_GB2312" w:hAnsi="宋体" w:eastAsia="仿宋_GB2312" w:cs="宋体"/>
          <w:snapToGrid/>
          <w:color w:val="000000"/>
          <w:kern w:val="0"/>
          <w:sz w:val="28"/>
          <w:szCs w:val="28"/>
          <w:lang w:val="en-US" w:eastAsia="zh-CN" w:bidi="ar-SA"/>
        </w:rPr>
      </w:pPr>
      <w:bookmarkStart w:id="10" w:name="_Toc5508"/>
      <w:r>
        <w:rPr>
          <w:rFonts w:hint="eastAsia" w:ascii="仿宋_GB2312" w:hAnsi="宋体" w:eastAsia="仿宋_GB2312" w:cs="宋体"/>
          <w:snapToGrid/>
          <w:color w:val="000000"/>
          <w:kern w:val="0"/>
          <w:sz w:val="28"/>
          <w:szCs w:val="28"/>
          <w:lang w:val="en-US" w:eastAsia="zh-CN" w:bidi="ar-SA"/>
        </w:rPr>
        <w:t>（一）培养目标</w:t>
      </w:r>
      <w:bookmarkEnd w:id="10"/>
    </w:p>
    <w:p>
      <w:pPr>
        <w:spacing w:before="234" w:line="229" w:lineRule="auto"/>
        <w:ind w:firstLine="638"/>
        <w:outlineLvl w:val="9"/>
        <w:rPr>
          <w:rFonts w:hint="eastAsia" w:ascii="仿宋_GB2312" w:hAnsi="宋体" w:eastAsia="仿宋_GB2312" w:cs="宋体"/>
          <w:snapToGrid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snapToGrid/>
          <w:color w:val="000000"/>
          <w:kern w:val="0"/>
          <w:sz w:val="28"/>
          <w:szCs w:val="28"/>
          <w:lang w:val="en-US" w:eastAsia="zh-CN" w:bidi="ar-SA"/>
        </w:rPr>
        <w:t>本专业培养理想信念坚定、德技并修、全面发展，具有一定的科学文化水平、良好的职业道德和工匠精神、较强的创新创业能力，具有支撑终身发展、适应时代要求的关键能力。掌握动漫设计与游戏制作专业方向必备的文化基础知识、专业知识和技术技能。面向动画、漫画、游戏、移动媒体及其他相关企事业单位，成为从事二维动画师、三维动画师、三维模型师、后期视频剪辑师和后期特效制作师等工作的高素质技能型复合人才。</w:t>
      </w:r>
    </w:p>
    <w:p>
      <w:pPr>
        <w:spacing w:before="234" w:line="229" w:lineRule="auto"/>
        <w:ind w:firstLine="638"/>
        <w:outlineLvl w:val="1"/>
        <w:rPr>
          <w:rFonts w:hint="eastAsia" w:ascii="仿宋_GB2312" w:hAnsi="宋体" w:eastAsia="仿宋_GB2312" w:cs="宋体"/>
          <w:snapToGrid/>
          <w:color w:val="000000"/>
          <w:kern w:val="0"/>
          <w:sz w:val="28"/>
          <w:szCs w:val="28"/>
          <w:lang w:val="en-US" w:eastAsia="zh-CN" w:bidi="ar-SA"/>
        </w:rPr>
      </w:pPr>
      <w:bookmarkStart w:id="11" w:name="_Toc30792"/>
      <w:r>
        <w:rPr>
          <w:rFonts w:hint="eastAsia" w:ascii="仿宋_GB2312" w:hAnsi="宋体" w:eastAsia="仿宋_GB2312" w:cs="宋体"/>
          <w:snapToGrid/>
          <w:color w:val="000000"/>
          <w:kern w:val="0"/>
          <w:sz w:val="28"/>
          <w:szCs w:val="28"/>
          <w:lang w:val="en-US" w:eastAsia="zh-CN" w:bidi="ar-SA"/>
        </w:rPr>
        <w:t>（二）培养规格</w:t>
      </w:r>
      <w:bookmarkEnd w:id="11"/>
    </w:p>
    <w:p>
      <w:pPr>
        <w:spacing w:before="234" w:line="229" w:lineRule="auto"/>
        <w:ind w:firstLine="638"/>
        <w:outlineLvl w:val="9"/>
        <w:rPr>
          <w:rFonts w:hint="eastAsia" w:ascii="仿宋_GB2312" w:hAnsi="宋体" w:eastAsia="仿宋_GB2312" w:cs="宋体"/>
          <w:snapToGrid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snapToGrid/>
          <w:color w:val="000000"/>
          <w:kern w:val="0"/>
          <w:sz w:val="28"/>
          <w:szCs w:val="28"/>
          <w:lang w:val="en-US" w:eastAsia="zh-CN" w:bidi="ar-SA"/>
        </w:rPr>
        <w:t>本专业毕业生应具有以下职业素养（职业道德和产业文化素养）、专业知识和技能：</w:t>
      </w:r>
    </w:p>
    <w:p>
      <w:pPr>
        <w:spacing w:before="234" w:line="240" w:lineRule="auto"/>
        <w:ind w:firstLine="638"/>
        <w:outlineLvl w:val="9"/>
        <w:rPr>
          <w:rFonts w:hint="eastAsia" w:ascii="仿宋_GB2312" w:hAnsi="宋体" w:eastAsia="仿宋_GB2312" w:cs="宋体"/>
          <w:snapToGrid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snapToGrid/>
          <w:color w:val="000000"/>
          <w:kern w:val="0"/>
          <w:sz w:val="28"/>
          <w:szCs w:val="28"/>
          <w:lang w:val="en-US" w:eastAsia="zh-CN" w:bidi="ar-SA"/>
        </w:rPr>
        <w:t>1.职业素养</w:t>
      </w:r>
    </w:p>
    <w:p>
      <w:pPr>
        <w:spacing w:before="234" w:line="240" w:lineRule="auto"/>
        <w:ind w:firstLine="638"/>
        <w:outlineLvl w:val="9"/>
        <w:rPr>
          <w:rFonts w:hint="eastAsia" w:ascii="仿宋_GB2312" w:hAnsi="宋体" w:eastAsia="仿宋_GB2312" w:cs="宋体"/>
          <w:snapToGrid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snapToGrid/>
          <w:color w:val="000000"/>
          <w:kern w:val="0"/>
          <w:sz w:val="28"/>
          <w:szCs w:val="28"/>
          <w:lang w:val="en-US" w:eastAsia="zh-CN" w:bidi="ar-SA"/>
        </w:rPr>
        <w:t>（1）思想政治素质</w:t>
      </w:r>
    </w:p>
    <w:p>
      <w:pPr>
        <w:spacing w:before="234" w:line="240" w:lineRule="auto"/>
        <w:ind w:firstLine="638"/>
        <w:outlineLvl w:val="9"/>
        <w:rPr>
          <w:rFonts w:hint="eastAsia" w:ascii="仿宋_GB2312" w:hAnsi="宋体" w:eastAsia="仿宋_GB2312" w:cs="宋体"/>
          <w:snapToGrid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snapToGrid/>
          <w:color w:val="000000"/>
          <w:kern w:val="0"/>
          <w:sz w:val="28"/>
          <w:szCs w:val="28"/>
          <w:lang w:val="en-US" w:eastAsia="zh-CN" w:bidi="ar-SA"/>
        </w:rPr>
        <w:t>具有科学的世界观、人生观和价值观，践行社会主义荣辱观；具有爱国主义精神；具有责任心和社会责任感；具有法律意识。</w:t>
      </w:r>
    </w:p>
    <w:p>
      <w:pPr>
        <w:spacing w:before="234" w:line="240" w:lineRule="auto"/>
        <w:ind w:firstLine="638"/>
        <w:outlineLvl w:val="9"/>
        <w:rPr>
          <w:rFonts w:hint="eastAsia" w:ascii="仿宋_GB2312" w:hAnsi="宋体" w:eastAsia="仿宋_GB2312" w:cs="宋体"/>
          <w:snapToGrid/>
          <w:color w:val="000000"/>
          <w:kern w:val="0"/>
          <w:sz w:val="28"/>
          <w:szCs w:val="28"/>
          <w:lang w:val="en-US" w:eastAsia="zh-CN" w:bidi="ar-SA"/>
        </w:rPr>
      </w:pPr>
      <w:bookmarkStart w:id="12" w:name="_GoBack"/>
      <w:bookmarkEnd w:id="12"/>
    </w:p>
    <w:sectPr>
      <w:footerReference r:id="rId5" w:type="default"/>
      <w:pgSz w:w="11906" w:h="16839"/>
      <w:pgMar w:top="1440" w:right="1800" w:bottom="1440" w:left="1800" w:header="0" w:footer="1256" w:gutter="0"/>
      <w:pgNumType w:fmt="decimal" w:start="1"/>
      <w:cols w:equalWidth="0" w:num="1">
        <w:col w:w="918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U1ODA4MDYxYTdkMjAzZGIwNWExZmFiZTVlNDg2ODcifQ=="/>
  </w:docVars>
  <w:rsids>
    <w:rsidRoot w:val="00000000"/>
    <w:rsid w:val="00FB62F5"/>
    <w:rsid w:val="05045994"/>
    <w:rsid w:val="098175B4"/>
    <w:rsid w:val="0F0413D5"/>
    <w:rsid w:val="163F1BD1"/>
    <w:rsid w:val="1F7D3F22"/>
    <w:rsid w:val="1F923E71"/>
    <w:rsid w:val="22A900C6"/>
    <w:rsid w:val="238E0DF3"/>
    <w:rsid w:val="240370EB"/>
    <w:rsid w:val="25B2502E"/>
    <w:rsid w:val="25FE400E"/>
    <w:rsid w:val="27A110F5"/>
    <w:rsid w:val="289249EB"/>
    <w:rsid w:val="2D7B6B82"/>
    <w:rsid w:val="2DF81343"/>
    <w:rsid w:val="2E505623"/>
    <w:rsid w:val="2FDE1FF2"/>
    <w:rsid w:val="31813D45"/>
    <w:rsid w:val="31D9592F"/>
    <w:rsid w:val="35775243"/>
    <w:rsid w:val="36EB1016"/>
    <w:rsid w:val="398D05D8"/>
    <w:rsid w:val="3A967F31"/>
    <w:rsid w:val="3E086FDF"/>
    <w:rsid w:val="3EA80B63"/>
    <w:rsid w:val="410F4ECA"/>
    <w:rsid w:val="4348794C"/>
    <w:rsid w:val="46926116"/>
    <w:rsid w:val="4CE90CC5"/>
    <w:rsid w:val="4D994499"/>
    <w:rsid w:val="4F041DE6"/>
    <w:rsid w:val="502E69EF"/>
    <w:rsid w:val="52F27181"/>
    <w:rsid w:val="55560EC1"/>
    <w:rsid w:val="56D9575B"/>
    <w:rsid w:val="57300DD4"/>
    <w:rsid w:val="5829466B"/>
    <w:rsid w:val="58E97957"/>
    <w:rsid w:val="5A7476F4"/>
    <w:rsid w:val="5A7D0C9E"/>
    <w:rsid w:val="5D210677"/>
    <w:rsid w:val="60AD4C0E"/>
    <w:rsid w:val="61544C48"/>
    <w:rsid w:val="636E387A"/>
    <w:rsid w:val="65AE7F5E"/>
    <w:rsid w:val="6642629B"/>
    <w:rsid w:val="6C7E2BD1"/>
    <w:rsid w:val="710B44B6"/>
    <w:rsid w:val="76D37824"/>
    <w:rsid w:val="77825A55"/>
    <w:rsid w:val="7A112E63"/>
    <w:rsid w:val="7B904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uiPriority w:val="0"/>
  </w:style>
  <w:style w:type="paragraph" w:styleId="6">
    <w:name w:val="toc 2"/>
    <w:basedOn w:val="1"/>
    <w:next w:val="1"/>
    <w:uiPriority w:val="0"/>
    <w:pPr>
      <w:ind w:left="420" w:leftChars="2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WPSOffice手动目录 1"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1">
    <w:name w:val="WPSOffice手动目录 2"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2">
    <w:name w:val="WPSOffice手动目录 3"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8827</Words>
  <Characters>8999</Characters>
  <Lines>1</Lines>
  <Paragraphs>1</Paragraphs>
  <TotalTime>0</TotalTime>
  <ScaleCrop>false</ScaleCrop>
  <LinksUpToDate>false</LinksUpToDate>
  <CharactersWithSpaces>9092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2022-07-14T11:54:00Z</dcterms:created>
  <dc:creator>wws</dc:creator>
  <cp:lastModifiedBy>大表哥</cp:lastModifiedBy>
  <dcterms:modified xsi:type="dcterms:W3CDTF">2023-04-27T03:12:59Z</dcterms:modified>
  <dc:title>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2022-11-22T20:25:14Z</vt:filetime>
  </property>
  <property fmtid="{D5CDD505-2E9C-101B-9397-08002B2CF9AE}" pid="4" name="KSOProductBuildVer">
    <vt:lpwstr>2052-11.1.0.14036</vt:lpwstr>
  </property>
  <property fmtid="{D5CDD505-2E9C-101B-9397-08002B2CF9AE}" pid="5" name="ICV">
    <vt:lpwstr>3934C18534034507B5C08929F5441206</vt:lpwstr>
  </property>
</Properties>
</file>