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246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center"/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56"/>
          <w:szCs w:val="56"/>
          <w:lang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ab/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1012190</wp:posOffset>
            </wp:positionH>
            <wp:positionV relativeFrom="paragraph">
              <wp:posOffset>2142490</wp:posOffset>
            </wp:positionV>
            <wp:extent cx="3780790" cy="309245"/>
            <wp:effectExtent l="0" t="0" r="10160" b="14605"/>
            <wp:wrapTopAndBottom/>
            <wp:docPr id="2" name="IM 2" descr="F:\Desktop\图片1.png图片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 descr="F:\Desktop\图片1.png图片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80790" cy="309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403860</wp:posOffset>
            </wp:positionV>
            <wp:extent cx="1273810" cy="1273810"/>
            <wp:effectExtent l="0" t="0" r="2540" b="2540"/>
            <wp:wrapTopAndBottom/>
            <wp:docPr id="1" name="IM 1" descr="F:\Desktop\实验中专logo500X500.png实验中专logo500X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 descr="F:\Desktop\实验中专logo500X500.png实验中专logo500X500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3810" cy="1273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center"/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center"/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center"/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textAlignment w:val="center"/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56"/>
          <w:szCs w:val="56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电子商务专业</w:t>
      </w:r>
      <w:r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专业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center"/>
        <w:outlineLvl w:val="0"/>
        <w:rPr>
          <w:rFonts w:ascii="黑体" w:hAnsi="黑体" w:eastAsia="黑体" w:cs="黑体"/>
          <w:b w:val="0"/>
          <w:bCs w:val="0"/>
          <w:sz w:val="56"/>
          <w:szCs w:val="56"/>
        </w:rPr>
      </w:pPr>
      <w:bookmarkStart w:id="0" w:name="_Toc6827"/>
      <w:bookmarkStart w:id="1" w:name="_Toc31135"/>
      <w:r>
        <w:rPr>
          <w:rFonts w:ascii="黑体" w:hAnsi="黑体" w:eastAsia="黑体" w:cs="黑体"/>
          <w:b w:val="0"/>
          <w:bCs w:val="0"/>
          <w:spacing w:val="5"/>
          <w:sz w:val="56"/>
          <w:szCs w:val="56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人才培养方案</w:t>
      </w:r>
      <w:bookmarkEnd w:id="0"/>
      <w:bookmarkEnd w:id="1"/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line="246" w:lineRule="auto"/>
        <w:jc w:val="center"/>
        <w:rPr>
          <w:rFonts w:ascii="Arial"/>
          <w:sz w:val="21"/>
        </w:rPr>
      </w:pPr>
    </w:p>
    <w:p>
      <w:pPr>
        <w:spacing w:before="140" w:line="229" w:lineRule="auto"/>
        <w:jc w:val="center"/>
        <w:rPr>
          <w:rFonts w:hint="eastAsia" w:ascii="楷体" w:hAnsi="楷体" w:eastAsia="楷体" w:cs="楷体"/>
          <w:spacing w:val="-7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楷体" w:hAnsi="楷体" w:eastAsia="楷体" w:cs="楷体"/>
          <w:spacing w:val="-7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  <w:t>教务处</w:t>
      </w:r>
    </w:p>
    <w:p>
      <w:pPr>
        <w:spacing w:before="140" w:line="229" w:lineRule="auto"/>
        <w:jc w:val="center"/>
        <w:rPr>
          <w:rFonts w:hint="eastAsia" w:ascii="楷体" w:hAnsi="楷体" w:eastAsia="楷体" w:cs="楷体"/>
          <w:spacing w:val="-7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spacing w:before="140" w:line="229" w:lineRule="auto"/>
        <w:jc w:val="both"/>
        <w:rPr>
          <w:rFonts w:hint="eastAsia" w:ascii="楷体" w:hAnsi="楷体" w:eastAsia="楷体" w:cs="楷体"/>
          <w:spacing w:val="-7"/>
          <w:sz w:val="43"/>
          <w:szCs w:val="43"/>
          <w:lang w:val="en-US" w:eastAsia="zh-CN"/>
          <w14:textOutline w14:w="797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1997"/>
        <w15:color w:val="DBDBDB"/>
        <w:docPartObj>
          <w:docPartGallery w:val="Table of Contents"/>
          <w:docPartUnique/>
        </w:docPartObj>
      </w:sdtPr>
      <w:sdtEndPr>
        <w:rPr>
          <w:rFonts w:hint="eastAsia" w:asciiTheme="majorEastAsia" w:hAnsiTheme="majorEastAsia" w:eastAsiaTheme="majorEastAsia" w:cstheme="majorEastAsia"/>
          <w:bCs/>
          <w:kern w:val="2"/>
          <w:sz w:val="21"/>
          <w:szCs w:val="28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instrText xml:space="preserve">TOC \o "1-3" \h \u </w:instrText>
          </w:r>
          <w:r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_Toc31135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ascii="黑体" w:hAnsi="黑体" w:eastAsia="黑体" w:cs="黑体"/>
              <w:bCs w:val="0"/>
              <w:spacing w:val="5"/>
              <w:szCs w:val="56"/>
              <w14:textOutline w14:w="7972" w14:cap="sq" w14:cmpd="sng">
                <w14:solidFill>
                  <w14:srgbClr w14:val="000000"/>
                </w14:solidFill>
                <w14:prstDash w14:val="solid"/>
                <w14:bevel/>
              </w14:textOutline>
            </w:rPr>
            <w:t>人才培养方案</w:t>
          </w:r>
          <w:r>
            <w:tab/>
          </w:r>
          <w:r>
            <w:fldChar w:fldCharType="begin"/>
          </w:r>
          <w:r>
            <w:instrText xml:space="preserve"> PAGEREF _Toc31135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_Toc19478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Theme="majorEastAsia" w:hAnsiTheme="majorEastAsia" w:eastAsiaTheme="majorEastAsia" w:cstheme="majorEastAsia"/>
              <w:bCs/>
              <w:szCs w:val="44"/>
            </w:rPr>
            <w:t>电子商务专业人才培养方案</w:t>
          </w:r>
          <w:r>
            <w:tab/>
          </w:r>
          <w:r>
            <w:fldChar w:fldCharType="begin"/>
          </w:r>
          <w:r>
            <w:instrText xml:space="preserve"> PAGEREF _Toc19478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_Toc19084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8"/>
            </w:rPr>
            <w:t>一、专业名称及代码</w:t>
          </w:r>
          <w:r>
            <w:tab/>
          </w:r>
          <w:r>
            <w:fldChar w:fldCharType="begin"/>
          </w:r>
          <w:r>
            <w:instrText xml:space="preserve"> PAGEREF _Toc19084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_Toc27975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8"/>
              <w:lang w:val="en-US" w:eastAsia="zh-CN"/>
            </w:rPr>
            <w:t>二、</w:t>
          </w:r>
          <w:r>
            <w:rPr>
              <w:rFonts w:hint="eastAsia" w:ascii="仿宋" w:hAnsi="仿宋" w:eastAsia="仿宋" w:cs="仿宋"/>
              <w:bCs/>
              <w:szCs w:val="28"/>
            </w:rPr>
            <w:t>入学要求</w:t>
          </w:r>
          <w:r>
            <w:tab/>
          </w:r>
          <w:r>
            <w:fldChar w:fldCharType="begin"/>
          </w:r>
          <w:r>
            <w:instrText xml:space="preserve"> PAGEREF _Toc27975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_Toc27571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8"/>
              <w:lang w:val="en-US" w:eastAsia="zh-CN"/>
            </w:rPr>
            <w:t>三、</w:t>
          </w:r>
          <w:r>
            <w:rPr>
              <w:rFonts w:hint="eastAsia" w:ascii="仿宋" w:hAnsi="仿宋" w:eastAsia="仿宋" w:cs="仿宋"/>
              <w:bCs/>
              <w:szCs w:val="28"/>
            </w:rPr>
            <w:t>修业年限</w:t>
          </w:r>
          <w:r>
            <w:tab/>
          </w:r>
          <w:r>
            <w:fldChar w:fldCharType="begin"/>
          </w:r>
          <w:r>
            <w:instrText xml:space="preserve"> PAGEREF _Toc27571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_Toc14790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3年</w:t>
          </w:r>
          <w:r>
            <w:tab/>
          </w:r>
          <w:r>
            <w:fldChar w:fldCharType="begin"/>
          </w:r>
          <w:r>
            <w:instrText xml:space="preserve"> PAGEREF _Toc14790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_Toc15352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8"/>
              <w:lang w:val="en-US" w:eastAsia="zh-CN"/>
            </w:rPr>
            <w:t>四、职业面向</w:t>
          </w:r>
          <w:r>
            <w:tab/>
          </w:r>
          <w:r>
            <w:fldChar w:fldCharType="begin"/>
          </w:r>
          <w:r>
            <w:instrText xml:space="preserve"> PAGEREF _Toc15352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_Toc22226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8"/>
              <w:lang w:val="en-US" w:eastAsia="zh-CN"/>
            </w:rPr>
            <w:t>五、培养目标</w:t>
          </w:r>
          <w:r>
            <w:tab/>
          </w:r>
          <w:r>
            <w:fldChar w:fldCharType="begin"/>
          </w:r>
          <w:r>
            <w:instrText xml:space="preserve"> PAGEREF _Toc22226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_Toc11743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（一）培养目标</w:t>
          </w:r>
          <w:r>
            <w:tab/>
          </w:r>
          <w:r>
            <w:fldChar w:fldCharType="begin"/>
          </w:r>
          <w:r>
            <w:instrText xml:space="preserve"> PAGEREF _Toc11743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_Toc19997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（二）具体要求</w:t>
          </w:r>
          <w:r>
            <w:tab/>
          </w:r>
          <w:r>
            <w:fldChar w:fldCharType="begin"/>
          </w:r>
          <w:r>
            <w:instrText xml:space="preserve"> PAGEREF _Toc19997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_Toc26789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1.职业素养</w:t>
          </w:r>
          <w:r>
            <w:tab/>
          </w:r>
          <w:r>
            <w:fldChar w:fldCharType="begin"/>
          </w:r>
          <w:r>
            <w:instrText xml:space="preserve"> PAGEREF _Toc26789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_Toc9460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2.专业知识和技能</w:t>
          </w:r>
          <w:r>
            <w:tab/>
          </w:r>
          <w:r>
            <w:fldChar w:fldCharType="begin"/>
          </w:r>
          <w:r>
            <w:instrText xml:space="preserve"> PAGEREF _Toc9460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_Toc4936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8"/>
              <w:lang w:val="en-US" w:eastAsia="zh-CN"/>
            </w:rPr>
            <w:t>六、毕业条件</w:t>
          </w:r>
          <w:r>
            <w:tab/>
          </w:r>
          <w:r>
            <w:fldChar w:fldCharType="begin"/>
          </w:r>
          <w:r>
            <w:instrText xml:space="preserve"> PAGEREF _Toc4936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_Toc18872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8"/>
            </w:rPr>
            <w:t>七、课程设置</w:t>
          </w:r>
          <w:r>
            <w:tab/>
          </w:r>
          <w:r>
            <w:fldChar w:fldCharType="begin"/>
          </w:r>
          <w:r>
            <w:instrText xml:space="preserve"> PAGEREF _Toc18872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_Toc8338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（一）文化基础课</w:t>
          </w:r>
          <w:r>
            <w:tab/>
          </w:r>
          <w:r>
            <w:fldChar w:fldCharType="begin"/>
          </w:r>
          <w:r>
            <w:instrText xml:space="preserve"> PAGEREF _Toc8338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_Toc29239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（二）专业课</w:t>
          </w:r>
          <w:r>
            <w:tab/>
          </w:r>
          <w:r>
            <w:fldChar w:fldCharType="begin"/>
          </w:r>
          <w:r>
            <w:instrText xml:space="preserve"> PAGEREF _Toc29239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_Toc27804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(三)顶岗实习</w:t>
          </w:r>
          <w:r>
            <w:tab/>
          </w:r>
          <w:r>
            <w:fldChar w:fldCharType="begin"/>
          </w:r>
          <w:r>
            <w:instrText xml:space="preserve"> PAGEREF _Toc27804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_Toc6559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8"/>
            </w:rPr>
            <w:t>八、各类课程学时统计表</w:t>
          </w:r>
          <w:r>
            <w:tab/>
          </w:r>
          <w:r>
            <w:fldChar w:fldCharType="begin"/>
          </w:r>
          <w:r>
            <w:instrText xml:space="preserve"> PAGEREF _Toc6559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_Toc16241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8"/>
            </w:rPr>
            <w:t>九、教学安排</w:t>
          </w:r>
          <w:r>
            <w:tab/>
          </w:r>
          <w:r>
            <w:fldChar w:fldCharType="begin"/>
          </w:r>
          <w:r>
            <w:instrText xml:space="preserve"> PAGEREF _Toc16241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_Toc795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（一）基本要求</w:t>
          </w:r>
          <w:r>
            <w:tab/>
          </w:r>
          <w:r>
            <w:fldChar w:fldCharType="begin"/>
          </w:r>
          <w:r>
            <w:instrText xml:space="preserve"> PAGEREF _Toc795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_Toc9648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2.实行学分制，以16学时为1学分，3年总学时为3120；</w:t>
          </w:r>
          <w:r>
            <w:tab/>
          </w:r>
          <w:r>
            <w:fldChar w:fldCharType="begin"/>
          </w:r>
          <w:r>
            <w:instrText xml:space="preserve"> PAGEREF _Toc9648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_Toc3683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(二) 教学安排建议</w:t>
          </w:r>
          <w:r>
            <w:tab/>
          </w:r>
          <w:r>
            <w:fldChar w:fldCharType="begin"/>
          </w:r>
          <w:r>
            <w:instrText xml:space="preserve"> PAGEREF _Toc3683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_Toc22373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8"/>
            </w:rPr>
            <w:t>十、教学评价</w:t>
          </w:r>
          <w:r>
            <w:tab/>
          </w:r>
          <w:r>
            <w:fldChar w:fldCharType="begin"/>
          </w:r>
          <w:r>
            <w:instrText xml:space="preserve"> PAGEREF _Toc22373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_Toc21955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1.基本素养评价</w:t>
          </w:r>
          <w:r>
            <w:tab/>
          </w:r>
          <w:r>
            <w:fldChar w:fldCharType="begin"/>
          </w:r>
          <w:r>
            <w:instrText xml:space="preserve"> PAGEREF _Toc21955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_Toc26216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2.文化知识和职业技能评价</w:t>
          </w:r>
          <w:r>
            <w:tab/>
          </w:r>
          <w:r>
            <w:fldChar w:fldCharType="begin"/>
          </w:r>
          <w:r>
            <w:instrText xml:space="preserve"> PAGEREF _Toc26216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_Toc2409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3.顶岗实习评价</w:t>
          </w:r>
          <w:r>
            <w:tab/>
          </w:r>
          <w:r>
            <w:fldChar w:fldCharType="begin"/>
          </w:r>
          <w:r>
            <w:instrText xml:space="preserve"> PAGEREF _Toc2409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1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_Toc30986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bCs/>
              <w:szCs w:val="28"/>
            </w:rPr>
            <w:t>十一、质量管理</w:t>
          </w:r>
          <w:r>
            <w:tab/>
          </w:r>
          <w:r>
            <w:fldChar w:fldCharType="begin"/>
          </w:r>
          <w:r>
            <w:instrText xml:space="preserve"> PAGEREF _Toc30986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_Toc23023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  <w:lang w:eastAsia="zh-CN"/>
            </w:rPr>
            <w:t>（</w:t>
          </w:r>
          <w:r>
            <w:rPr>
              <w:rFonts w:hint="eastAsia" w:ascii="仿宋" w:hAnsi="仿宋" w:eastAsia="仿宋" w:cs="仿宋"/>
              <w:szCs w:val="28"/>
              <w:lang w:val="en-US" w:eastAsia="zh-CN"/>
            </w:rPr>
            <w:t>一</w:t>
          </w:r>
          <w:r>
            <w:rPr>
              <w:rFonts w:hint="eastAsia" w:ascii="仿宋" w:hAnsi="仿宋" w:eastAsia="仿宋" w:cs="仿宋"/>
              <w:szCs w:val="28"/>
              <w:lang w:eastAsia="zh-CN"/>
            </w:rPr>
            <w:t>）</w:t>
          </w:r>
          <w:r>
            <w:rPr>
              <w:rFonts w:hint="eastAsia" w:ascii="仿宋" w:hAnsi="仿宋" w:eastAsia="仿宋" w:cs="仿宋"/>
              <w:szCs w:val="28"/>
            </w:rPr>
            <w:t>组织机构</w:t>
          </w:r>
          <w:r>
            <w:tab/>
          </w:r>
          <w:r>
            <w:fldChar w:fldCharType="begin"/>
          </w:r>
          <w:r>
            <w:instrText xml:space="preserve"> PAGEREF _Toc23023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_Toc15064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2.课堂教学质量监控</w:t>
          </w:r>
          <w:r>
            <w:tab/>
          </w:r>
          <w:r>
            <w:fldChar w:fldCharType="begin"/>
          </w:r>
          <w:r>
            <w:instrText xml:space="preserve"> PAGEREF _Toc15064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2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_Toc5253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  <w:lang w:eastAsia="zh-CN"/>
            </w:rPr>
            <w:t>（</w:t>
          </w:r>
          <w:r>
            <w:rPr>
              <w:rFonts w:hint="eastAsia" w:ascii="仿宋" w:hAnsi="仿宋" w:eastAsia="仿宋" w:cs="仿宋"/>
              <w:szCs w:val="28"/>
              <w:lang w:val="en-US" w:eastAsia="zh-CN"/>
            </w:rPr>
            <w:t>二</w:t>
          </w:r>
          <w:r>
            <w:rPr>
              <w:rFonts w:hint="eastAsia" w:ascii="仿宋" w:hAnsi="仿宋" w:eastAsia="仿宋" w:cs="仿宋"/>
              <w:szCs w:val="28"/>
              <w:lang w:eastAsia="zh-CN"/>
            </w:rPr>
            <w:t>）教师课堂教学评分细则（权重60%）</w:t>
          </w:r>
          <w:r>
            <w:tab/>
          </w:r>
          <w:r>
            <w:fldChar w:fldCharType="begin"/>
          </w:r>
          <w:r>
            <w:instrText xml:space="preserve"> PAGEREF _Toc5253 \h </w:instrText>
          </w:r>
          <w:r>
            <w:fldChar w:fldCharType="separate"/>
          </w:r>
          <w:r>
            <w:t>19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pStyle w:val="13"/>
            <w:tabs>
              <w:tab w:val="right" w:leader="dot" w:pos="8306"/>
            </w:tabs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begin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instrText xml:space="preserve"> HYPERLINK \l _Toc15542 </w:instrText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separate"/>
          </w:r>
          <w:r>
            <w:rPr>
              <w:rFonts w:hint="eastAsia" w:ascii="仿宋" w:hAnsi="仿宋" w:eastAsia="仿宋" w:cs="仿宋"/>
              <w:szCs w:val="28"/>
            </w:rPr>
            <w:t>3.实践教学质量监控</w:t>
          </w:r>
          <w:r>
            <w:tab/>
          </w:r>
          <w:r>
            <w:fldChar w:fldCharType="begin"/>
          </w:r>
          <w:r>
            <w:instrText xml:space="preserve"> PAGEREF _Toc15542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  <w:p>
          <w:pPr>
            <w:jc w:val="center"/>
            <w:rPr>
              <w:rFonts w:hint="eastAsia" w:asciiTheme="majorEastAsia" w:hAnsiTheme="majorEastAsia" w:eastAsiaTheme="majorEastAsia" w:cstheme="majorEastAsia"/>
              <w:b/>
              <w:bCs/>
              <w:sz w:val="28"/>
              <w:szCs w:val="28"/>
            </w:rPr>
            <w:sectPr>
              <w:footerReference r:id="rId4" w:type="default"/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Theme="majorEastAsia" w:hAnsiTheme="majorEastAsia" w:eastAsiaTheme="majorEastAsia" w:cstheme="majorEastAsia"/>
              <w:bCs/>
              <w:szCs w:val="28"/>
            </w:rPr>
            <w:fldChar w:fldCharType="end"/>
          </w:r>
        </w:p>
      </w:sdtContent>
    </w:sdt>
    <w:p>
      <w:pPr>
        <w:jc w:val="center"/>
        <w:outlineLvl w:val="0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2" w:name="_Toc19478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电子商务专业人才培养方案</w:t>
      </w:r>
      <w:bookmarkEnd w:id="2"/>
    </w:p>
    <w:p>
      <w:pPr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</w:p>
    <w:p>
      <w:pPr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3" w:name="_Toc19084"/>
      <w:r>
        <w:rPr>
          <w:rFonts w:hint="eastAsia" w:ascii="仿宋" w:hAnsi="仿宋" w:eastAsia="仿宋" w:cs="仿宋"/>
          <w:b/>
          <w:bCs/>
          <w:sz w:val="28"/>
          <w:szCs w:val="28"/>
        </w:rPr>
        <w:t>一、专业名称及代码</w:t>
      </w:r>
      <w:bookmarkEnd w:id="3"/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专业名称：电子商务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专业代码：730701</w:t>
      </w:r>
    </w:p>
    <w:p>
      <w:pPr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4" w:name="_Toc27975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入学要求</w:t>
      </w:r>
      <w:bookmarkEnd w:id="4"/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初中毕业生或具有同等学力者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5" w:name="_Toc27571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修业年限</w:t>
      </w:r>
      <w:bookmarkEnd w:id="5"/>
    </w:p>
    <w:p>
      <w:pPr>
        <w:numPr>
          <w:ilvl w:val="0"/>
          <w:numId w:val="0"/>
        </w:numPr>
        <w:outlineLvl w:val="9"/>
        <w:rPr>
          <w:rFonts w:hint="eastAsia" w:ascii="仿宋" w:hAnsi="仿宋" w:eastAsia="仿宋" w:cs="仿宋"/>
          <w:sz w:val="28"/>
          <w:szCs w:val="28"/>
        </w:rPr>
      </w:pPr>
      <w:bookmarkStart w:id="6" w:name="_Toc14790"/>
      <w:r>
        <w:rPr>
          <w:rFonts w:hint="eastAsia" w:ascii="仿宋" w:hAnsi="仿宋" w:eastAsia="仿宋" w:cs="仿宋"/>
          <w:sz w:val="28"/>
          <w:szCs w:val="28"/>
        </w:rPr>
        <w:t>3年</w:t>
      </w:r>
      <w:bookmarkEnd w:id="6"/>
    </w:p>
    <w:tbl>
      <w:tblPr>
        <w:tblStyle w:val="7"/>
        <w:tblpPr w:leftFromText="180" w:rightFromText="180" w:vertAnchor="text" w:horzAnchor="page" w:tblpX="1753" w:tblpY="1240"/>
        <w:tblOverlap w:val="never"/>
        <w:tblW w:w="8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2285"/>
        <w:gridCol w:w="2856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907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2285" w:type="dxa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对应职位（岗位）</w:t>
            </w:r>
          </w:p>
        </w:tc>
        <w:tc>
          <w:tcPr>
            <w:tcW w:w="2856" w:type="dxa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职业资格证书举例</w:t>
            </w:r>
          </w:p>
        </w:tc>
        <w:tc>
          <w:tcPr>
            <w:tcW w:w="2169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专业（技能）方向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907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285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网店编辑</w:t>
            </w:r>
          </w:p>
        </w:tc>
        <w:tc>
          <w:tcPr>
            <w:tcW w:w="2856" w:type="dxa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网络编辑员、计算机网络管理员、计算机操作员</w:t>
            </w:r>
          </w:p>
        </w:tc>
        <w:tc>
          <w:tcPr>
            <w:tcW w:w="2169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网站编辑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907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285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客户服务</w:t>
            </w:r>
          </w:p>
        </w:tc>
        <w:tc>
          <w:tcPr>
            <w:tcW w:w="2856" w:type="dxa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普通话水平测试等级证书</w:t>
            </w:r>
          </w:p>
        </w:tc>
        <w:tc>
          <w:tcPr>
            <w:tcW w:w="2169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客户服务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07" w:type="dxa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285" w:type="dxa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网络销售、网络推广</w:t>
            </w:r>
          </w:p>
        </w:tc>
        <w:tc>
          <w:tcPr>
            <w:tcW w:w="2856" w:type="dxa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电子商务师（初级）</w:t>
            </w:r>
          </w:p>
        </w:tc>
        <w:tc>
          <w:tcPr>
            <w:tcW w:w="2169" w:type="dxa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网络营销</w:t>
            </w:r>
          </w:p>
        </w:tc>
      </w:tr>
    </w:tbl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7" w:name="_Toc15352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四、职业面向</w:t>
      </w:r>
      <w:bookmarkEnd w:id="7"/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说明：可根据区域实际情况和专业（技能）方向取得1或2个证书。</w:t>
      </w:r>
    </w:p>
    <w:p>
      <w:pPr>
        <w:numPr>
          <w:ilvl w:val="0"/>
          <w:numId w:val="0"/>
        </w:numPr>
        <w:outlineLvl w:val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8" w:name="_Toc22226"/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五、培养目标</w:t>
      </w:r>
      <w:bookmarkEnd w:id="8"/>
    </w:p>
    <w:p>
      <w:pPr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9" w:name="_Toc11743"/>
      <w:r>
        <w:rPr>
          <w:rFonts w:hint="eastAsia" w:ascii="仿宋" w:hAnsi="仿宋" w:eastAsia="仿宋" w:cs="仿宋"/>
          <w:sz w:val="28"/>
          <w:szCs w:val="28"/>
        </w:rPr>
        <w:t>（一）培养目标</w:t>
      </w:r>
      <w:bookmarkEnd w:id="9"/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专业培养适应经济社会发展和行业变化的需要，有理想、有道德、有文化、有纪律、热爱社会主义国家和社会主义事业，具有良好的职业道德和行为规范，掌握必需的文化基础知识，具有相应的综合职业能力的中初级电子商务人员。</w:t>
      </w:r>
    </w:p>
    <w:p>
      <w:pPr>
        <w:outlineLvl w:val="1"/>
        <w:rPr>
          <w:rFonts w:hint="eastAsia" w:ascii="仿宋" w:hAnsi="仿宋" w:eastAsia="仿宋" w:cs="仿宋"/>
          <w:sz w:val="28"/>
          <w:szCs w:val="28"/>
        </w:rPr>
      </w:pPr>
      <w:bookmarkStart w:id="10" w:name="_Toc19997"/>
      <w:r>
        <w:rPr>
          <w:rFonts w:hint="eastAsia" w:ascii="仿宋" w:hAnsi="仿宋" w:eastAsia="仿宋" w:cs="仿宋"/>
          <w:sz w:val="28"/>
          <w:szCs w:val="28"/>
        </w:rPr>
        <w:t>（二）具体要求</w:t>
      </w:r>
      <w:bookmarkEnd w:id="10"/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本专业培养的学生应具备以下职业素质、知识与能力：</w:t>
      </w:r>
    </w:p>
    <w:p>
      <w:pPr>
        <w:outlineLvl w:val="9"/>
        <w:rPr>
          <w:rFonts w:hint="eastAsia" w:ascii="仿宋" w:hAnsi="仿宋" w:eastAsia="仿宋" w:cs="仿宋"/>
          <w:sz w:val="28"/>
          <w:szCs w:val="28"/>
        </w:rPr>
      </w:pPr>
      <w:bookmarkStart w:id="11" w:name="_Toc26789"/>
      <w:r>
        <w:rPr>
          <w:rFonts w:hint="eastAsia" w:ascii="仿宋" w:hAnsi="仿宋" w:eastAsia="仿宋" w:cs="仿宋"/>
          <w:sz w:val="28"/>
          <w:szCs w:val="28"/>
        </w:rPr>
        <w:t>1.职业素养</w:t>
      </w:r>
      <w:bookmarkEnd w:id="11"/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⑴具备良好的政治思想素质、道德品质和法律意识；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⑵具备人文科学素养，形成稳固的专业知识和良好的生活态度；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⑶具备诚实、守信、吃苦耐劳、积极进取、敬业爱岗的工作态度；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⑷具备良好的人际交往能力、团队合作精神和客户服务意识；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⑸能严格遵守岗位操作规范；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⑹具有正确的就业观和创业意识；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⑺具备敢于创新、勇于探索的精神。</w:t>
      </w:r>
    </w:p>
    <w:p>
      <w:pPr>
        <w:outlineLvl w:val="9"/>
        <w:rPr>
          <w:rFonts w:hint="eastAsia" w:ascii="仿宋" w:hAnsi="仿宋" w:eastAsia="仿宋" w:cs="仿宋"/>
          <w:sz w:val="28"/>
          <w:szCs w:val="28"/>
        </w:rPr>
      </w:pPr>
      <w:bookmarkStart w:id="12" w:name="_Toc9460"/>
      <w:r>
        <w:rPr>
          <w:rFonts w:hint="eastAsia" w:ascii="仿宋" w:hAnsi="仿宋" w:eastAsia="仿宋" w:cs="仿宋"/>
          <w:sz w:val="28"/>
          <w:szCs w:val="28"/>
        </w:rPr>
        <w:t>2.专业知识和技能</w:t>
      </w:r>
      <w:bookmarkEnd w:id="12"/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⑴具有本专业必需的商务知识。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⑵具有本专业必需的网络信息技术知识。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⑶具有开展商务信息收集、分析、处理的基本知识与专业知识。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⑷具有网上交易营运的基本知识与专业知识。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⑸具有客户服务与管理的基本知识与专业知识。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⑹具有网站维护与管理的基本知识。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⑺会网络操作系统、常用办公软件的安装和操作，有较快的文字录入速度。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⑻具有开展商务信息收集、分析、处理的能力。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⑼能独立进行电子商务交易平台的操作。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⑽具有良好的客户开发、服务、管理能力。</w:t>
      </w: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⑾具备较强的网页制作能力，能够进行电子商务网站日常维护与管</w:t>
      </w:r>
      <w:bookmarkStart w:id="13" w:name="_GoBack"/>
      <w:bookmarkEnd w:id="13"/>
    </w:p>
    <w:sectPr>
      <w:footerReference r:id="rId5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ODA4MDYxYTdkMjAzZGIwNWExZmFiZTVlNDg2ODcifQ=="/>
  </w:docVars>
  <w:rsids>
    <w:rsidRoot w:val="4AEF48B9"/>
    <w:rsid w:val="00B0507A"/>
    <w:rsid w:val="022C0730"/>
    <w:rsid w:val="028B5457"/>
    <w:rsid w:val="052971A9"/>
    <w:rsid w:val="05486BAC"/>
    <w:rsid w:val="0671275D"/>
    <w:rsid w:val="08025B69"/>
    <w:rsid w:val="082C3238"/>
    <w:rsid w:val="09300B06"/>
    <w:rsid w:val="105552F6"/>
    <w:rsid w:val="17F11DA8"/>
    <w:rsid w:val="18003D99"/>
    <w:rsid w:val="19365D68"/>
    <w:rsid w:val="1A9954CE"/>
    <w:rsid w:val="1ADB6A54"/>
    <w:rsid w:val="1B005AA3"/>
    <w:rsid w:val="1B9D6D33"/>
    <w:rsid w:val="1C940F54"/>
    <w:rsid w:val="1DE07B5A"/>
    <w:rsid w:val="1FA871F0"/>
    <w:rsid w:val="1FC658C9"/>
    <w:rsid w:val="21FF28FC"/>
    <w:rsid w:val="223C00C4"/>
    <w:rsid w:val="24FA4455"/>
    <w:rsid w:val="26E54B74"/>
    <w:rsid w:val="282D0BDB"/>
    <w:rsid w:val="284E0B51"/>
    <w:rsid w:val="2B557555"/>
    <w:rsid w:val="2DEE7921"/>
    <w:rsid w:val="2E045F3A"/>
    <w:rsid w:val="2F9D2478"/>
    <w:rsid w:val="31A55C86"/>
    <w:rsid w:val="32E4458C"/>
    <w:rsid w:val="357E488A"/>
    <w:rsid w:val="360946D0"/>
    <w:rsid w:val="3F23578A"/>
    <w:rsid w:val="3F67457A"/>
    <w:rsid w:val="419827B6"/>
    <w:rsid w:val="427C0406"/>
    <w:rsid w:val="43065E58"/>
    <w:rsid w:val="4712301E"/>
    <w:rsid w:val="4AEF48B9"/>
    <w:rsid w:val="4B047832"/>
    <w:rsid w:val="4CB96E9E"/>
    <w:rsid w:val="4CCF22AA"/>
    <w:rsid w:val="4D4F3AAC"/>
    <w:rsid w:val="4D6F45E6"/>
    <w:rsid w:val="4E235B10"/>
    <w:rsid w:val="51F01178"/>
    <w:rsid w:val="54AD4386"/>
    <w:rsid w:val="578D6B0E"/>
    <w:rsid w:val="5E582374"/>
    <w:rsid w:val="647E6F11"/>
    <w:rsid w:val="64DB6CED"/>
    <w:rsid w:val="657F1725"/>
    <w:rsid w:val="658579FE"/>
    <w:rsid w:val="68686AEA"/>
    <w:rsid w:val="6AF06182"/>
    <w:rsid w:val="6D2D4D8E"/>
    <w:rsid w:val="6F5D7020"/>
    <w:rsid w:val="6F610D9F"/>
    <w:rsid w:val="708A15C7"/>
    <w:rsid w:val="71D11346"/>
    <w:rsid w:val="74CB0B2C"/>
    <w:rsid w:val="75986535"/>
    <w:rsid w:val="781F5325"/>
    <w:rsid w:val="782F0BB9"/>
    <w:rsid w:val="79313DD3"/>
    <w:rsid w:val="7A57076C"/>
    <w:rsid w:val="7BEC6381"/>
    <w:rsid w:val="7D7E7A09"/>
    <w:rsid w:val="7F43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qFormat/>
    <w:uiPriority w:val="0"/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表11"/>
    <w:qFormat/>
    <w:uiPriority w:val="0"/>
    <w:rPr>
      <w:rFonts w:ascii="Calibri" w:hAnsi="Calibri" w:eastAsia="宋体" w:cs="Times New Roman"/>
      <w:kern w:val="2"/>
      <w:sz w:val="22"/>
      <w:szCs w:val="30"/>
      <w:lang w:val="en-US" w:eastAsia="zh-CN" w:bidi="ar-SA"/>
    </w:rPr>
  </w:style>
  <w:style w:type="paragraph" w:customStyle="1" w:styleId="10">
    <w:name w:val="正文11缩"/>
    <w:basedOn w:val="1"/>
    <w:qFormat/>
    <w:uiPriority w:val="0"/>
    <w:pPr>
      <w:spacing w:line="400" w:lineRule="exact"/>
      <w:ind w:firstLine="200" w:firstLineChars="200"/>
      <w:jc w:val="left"/>
    </w:pPr>
    <w:rPr>
      <w:rFonts w:ascii="宋体" w:hAnsi="宋体" w:eastAsia="宋体"/>
      <w:color w:val="262626"/>
      <w:sz w:val="22"/>
      <w:szCs w:val="24"/>
    </w:rPr>
  </w:style>
  <w:style w:type="paragraph" w:customStyle="1" w:styleId="11">
    <w:name w:val="WPSOffice手动目录 1"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2">
    <w:name w:val="WPSOffice手动目录 2"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13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23</Pages>
  <Words>11274</Words>
  <Characters>11812</Characters>
  <Lines>0</Lines>
  <Paragraphs>0</Paragraphs>
  <TotalTime>9</TotalTime>
  <ScaleCrop>false</ScaleCrop>
  <LinksUpToDate>false</LinksUpToDate>
  <CharactersWithSpaces>11955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2022-11-22T15:36:00Z</dcterms:created>
  <dc:creator>bobo</dc:creator>
  <cp:lastModifiedBy>大表哥</cp:lastModifiedBy>
  <dcterms:modified xsi:type="dcterms:W3CDTF">2023-04-27T03:11:39Z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F0F79E93FC2744B994D341C86F3CDFEA</vt:lpwstr>
  </property>
</Properties>
</file>